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679E59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D5CAE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FD5CAE">
        <w:rPr>
          <w:rFonts w:ascii="Arial" w:hAnsi="Arial" w:cs="Arial"/>
          <w:color w:val="000000"/>
          <w:sz w:val="20"/>
          <w:szCs w:val="20"/>
        </w:rPr>
        <w:t>16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F75672">
        <w:rPr>
          <w:rFonts w:ascii="Arial" w:hAnsi="Arial" w:cs="Arial"/>
          <w:color w:val="000000"/>
          <w:sz w:val="20"/>
          <w:szCs w:val="20"/>
        </w:rPr>
        <w:t>května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72">
        <w:rPr>
          <w:rFonts w:ascii="Arial" w:hAnsi="Arial" w:cs="Arial"/>
          <w:color w:val="000000"/>
          <w:sz w:val="20"/>
          <w:szCs w:val="20"/>
        </w:rPr>
        <w:t>2024</w:t>
      </w: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17A2DCBB" w:rsidR="00AF1AA4" w:rsidRDefault="00AF1AA4" w:rsidP="006603FA">
            <w:pPr>
              <w:pStyle w:val="ExhibitionInfo"/>
            </w:pPr>
          </w:p>
        </w:tc>
      </w:tr>
    </w:tbl>
    <w:p w14:paraId="5F6B46E2" w14:textId="12AC0023" w:rsidR="00AF1AA4" w:rsidRDefault="00FD5CAE" w:rsidP="008135E8">
      <w:pPr>
        <w:pStyle w:val="Bodytext"/>
        <w:ind w:right="1955"/>
      </w:pPr>
      <w:r w:rsidRPr="00FD5CAE">
        <w:rPr>
          <w:sz w:val="40"/>
        </w:rPr>
        <w:t xml:space="preserve">Siemens </w:t>
      </w:r>
      <w:proofErr w:type="spellStart"/>
      <w:r w:rsidRPr="00FD5CAE">
        <w:rPr>
          <w:sz w:val="40"/>
        </w:rPr>
        <w:t>prodá</w:t>
      </w:r>
      <w:proofErr w:type="spellEnd"/>
      <w:r w:rsidRPr="00FD5CAE">
        <w:rPr>
          <w:sz w:val="40"/>
        </w:rPr>
        <w:t xml:space="preserve"> </w:t>
      </w:r>
      <w:proofErr w:type="spellStart"/>
      <w:r w:rsidRPr="00FD5CAE">
        <w:rPr>
          <w:sz w:val="40"/>
        </w:rPr>
        <w:t>společnost</w:t>
      </w:r>
      <w:proofErr w:type="spellEnd"/>
      <w:r w:rsidRPr="00FD5CAE">
        <w:rPr>
          <w:sz w:val="40"/>
        </w:rPr>
        <w:t xml:space="preserve"> Innomotics </w:t>
      </w:r>
      <w:proofErr w:type="spellStart"/>
      <w:r w:rsidRPr="00FD5CAE">
        <w:rPr>
          <w:sz w:val="40"/>
        </w:rPr>
        <w:t>firmě</w:t>
      </w:r>
      <w:proofErr w:type="spellEnd"/>
      <w:r w:rsidRPr="00FD5CAE">
        <w:rPr>
          <w:sz w:val="40"/>
        </w:rPr>
        <w:t xml:space="preserve"> KPS Capital Partners</w:t>
      </w:r>
    </w:p>
    <w:p w14:paraId="5F3ED67A" w14:textId="77777777" w:rsidR="00FD5CAE" w:rsidRPr="00FD5CAE" w:rsidRDefault="00FD5CAE" w:rsidP="00FD5CAE">
      <w:pPr>
        <w:pStyle w:val="Bodytext"/>
        <w:numPr>
          <w:ilvl w:val="0"/>
          <w:numId w:val="8"/>
        </w:numPr>
        <w:ind w:right="1955"/>
        <w:rPr>
          <w:b/>
        </w:rPr>
      </w:pPr>
      <w:r w:rsidRPr="00FD5CAE">
        <w:rPr>
          <w:b/>
        </w:rPr>
        <w:t xml:space="preserve">KPS Capital Partners za Innomotics </w:t>
      </w:r>
      <w:proofErr w:type="spellStart"/>
      <w:r w:rsidRPr="00FD5CAE">
        <w:rPr>
          <w:b/>
        </w:rPr>
        <w:t>zaplatí</w:t>
      </w:r>
      <w:proofErr w:type="spellEnd"/>
      <w:r w:rsidRPr="00FD5CAE">
        <w:rPr>
          <w:b/>
        </w:rPr>
        <w:t xml:space="preserve"> 3,5 </w:t>
      </w:r>
      <w:proofErr w:type="spellStart"/>
      <w:r w:rsidRPr="00FD5CAE">
        <w:rPr>
          <w:b/>
        </w:rPr>
        <w:t>miliardy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eur</w:t>
      </w:r>
      <w:proofErr w:type="spellEnd"/>
    </w:p>
    <w:p w14:paraId="08B6EE1A" w14:textId="325E09A0" w:rsidR="00FD5CAE" w:rsidRPr="00FD5CAE" w:rsidRDefault="00FD5CAE" w:rsidP="00FD5CAE">
      <w:pPr>
        <w:pStyle w:val="Bodytext"/>
        <w:numPr>
          <w:ilvl w:val="0"/>
          <w:numId w:val="8"/>
        </w:numPr>
        <w:ind w:right="1955"/>
        <w:rPr>
          <w:b/>
        </w:rPr>
      </w:pPr>
      <w:r w:rsidRPr="00FD5CAE">
        <w:rPr>
          <w:b/>
        </w:rPr>
        <w:t xml:space="preserve">Innomotics je </w:t>
      </w:r>
      <w:proofErr w:type="spellStart"/>
      <w:r w:rsidRPr="00FD5CAE">
        <w:rPr>
          <w:b/>
        </w:rPr>
        <w:t>globálním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lídrem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ve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výrobě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elektromotorů</w:t>
      </w:r>
      <w:proofErr w:type="spellEnd"/>
      <w:r w:rsidRPr="00FD5CAE">
        <w:rPr>
          <w:b/>
        </w:rPr>
        <w:t xml:space="preserve"> a </w:t>
      </w:r>
      <w:proofErr w:type="spellStart"/>
      <w:r w:rsidRPr="00FD5CAE">
        <w:rPr>
          <w:b/>
        </w:rPr>
        <w:t>velkých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pohonů</w:t>
      </w:r>
      <w:proofErr w:type="spellEnd"/>
      <w:r w:rsidRPr="00FD5CAE">
        <w:rPr>
          <w:b/>
        </w:rPr>
        <w:t xml:space="preserve"> s </w:t>
      </w:r>
      <w:proofErr w:type="spellStart"/>
      <w:r w:rsidRPr="00FD5CAE">
        <w:rPr>
          <w:b/>
        </w:rPr>
        <w:t>tržbami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ve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výši</w:t>
      </w:r>
      <w:proofErr w:type="spellEnd"/>
      <w:r w:rsidRPr="00FD5CAE">
        <w:rPr>
          <w:b/>
        </w:rPr>
        <w:t xml:space="preserve"> 3,3 </w:t>
      </w:r>
      <w:proofErr w:type="spellStart"/>
      <w:r w:rsidRPr="00FD5CAE">
        <w:rPr>
          <w:b/>
        </w:rPr>
        <w:t>miliardy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eur</w:t>
      </w:r>
      <w:proofErr w:type="spellEnd"/>
      <w:r w:rsidRPr="00FD5CAE">
        <w:rPr>
          <w:b/>
        </w:rPr>
        <w:t xml:space="preserve"> a </w:t>
      </w:r>
      <w:proofErr w:type="spellStart"/>
      <w:r w:rsidRPr="00FD5CAE">
        <w:rPr>
          <w:b/>
        </w:rPr>
        <w:t>přibližně</w:t>
      </w:r>
      <w:proofErr w:type="spellEnd"/>
      <w:r w:rsidRPr="00FD5CAE">
        <w:rPr>
          <w:b/>
        </w:rPr>
        <w:t xml:space="preserve"> 15 000 </w:t>
      </w:r>
      <w:proofErr w:type="spellStart"/>
      <w:r w:rsidRPr="00FD5CAE">
        <w:rPr>
          <w:b/>
        </w:rPr>
        <w:t>zaměstnanci</w:t>
      </w:r>
      <w:proofErr w:type="spellEnd"/>
    </w:p>
    <w:p w14:paraId="6CD8FE82" w14:textId="1CF45DB3" w:rsidR="00FD5CAE" w:rsidRPr="00FD5CAE" w:rsidRDefault="00FD5CAE" w:rsidP="00FD5CAE">
      <w:pPr>
        <w:pStyle w:val="Bodytext"/>
        <w:numPr>
          <w:ilvl w:val="0"/>
          <w:numId w:val="8"/>
        </w:numPr>
        <w:ind w:right="1955"/>
        <w:rPr>
          <w:b/>
        </w:rPr>
      </w:pPr>
      <w:proofErr w:type="spellStart"/>
      <w:r w:rsidRPr="00FD5CAE">
        <w:rPr>
          <w:b/>
        </w:rPr>
        <w:t>Díky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nové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struktuře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získá</w:t>
      </w:r>
      <w:proofErr w:type="spellEnd"/>
      <w:r w:rsidRPr="00FD5CAE">
        <w:rPr>
          <w:b/>
        </w:rPr>
        <w:t xml:space="preserve"> Innomotics ty </w:t>
      </w:r>
      <w:proofErr w:type="spellStart"/>
      <w:r w:rsidRPr="00FD5CAE">
        <w:rPr>
          <w:b/>
        </w:rPr>
        <w:t>nejlepší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podmínky</w:t>
      </w:r>
      <w:proofErr w:type="spellEnd"/>
      <w:r w:rsidRPr="00FD5CAE">
        <w:rPr>
          <w:b/>
        </w:rPr>
        <w:t xml:space="preserve"> pro </w:t>
      </w:r>
      <w:proofErr w:type="spellStart"/>
      <w:r w:rsidRPr="00FD5CAE">
        <w:rPr>
          <w:b/>
        </w:rPr>
        <w:t>udržitelný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rozvoj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orientovaný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na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růst</w:t>
      </w:r>
      <w:proofErr w:type="spellEnd"/>
    </w:p>
    <w:p w14:paraId="5BA8C1BA" w14:textId="60E836E0" w:rsidR="00FD5CAE" w:rsidRPr="00FD5CAE" w:rsidRDefault="00FD5CAE" w:rsidP="00FD5CAE">
      <w:pPr>
        <w:pStyle w:val="Bodytext"/>
        <w:numPr>
          <w:ilvl w:val="0"/>
          <w:numId w:val="8"/>
        </w:numPr>
        <w:ind w:right="1955"/>
        <w:rPr>
          <w:b/>
        </w:rPr>
      </w:pPr>
      <w:proofErr w:type="spellStart"/>
      <w:r w:rsidRPr="00FD5CAE">
        <w:rPr>
          <w:b/>
        </w:rPr>
        <w:t>Transakce</w:t>
      </w:r>
      <w:proofErr w:type="spellEnd"/>
      <w:r w:rsidRPr="00FD5CAE">
        <w:rPr>
          <w:b/>
        </w:rPr>
        <w:t xml:space="preserve"> by </w:t>
      </w:r>
      <w:proofErr w:type="spellStart"/>
      <w:r w:rsidRPr="00FD5CAE">
        <w:rPr>
          <w:b/>
        </w:rPr>
        <w:t>měla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být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dokončena</w:t>
      </w:r>
      <w:proofErr w:type="spellEnd"/>
      <w:r w:rsidRPr="00FD5CAE">
        <w:rPr>
          <w:b/>
        </w:rPr>
        <w:t xml:space="preserve"> v </w:t>
      </w:r>
      <w:proofErr w:type="spellStart"/>
      <w:r w:rsidRPr="00FD5CAE">
        <w:rPr>
          <w:b/>
        </w:rPr>
        <w:t>první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polovině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fiskálního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roku</w:t>
      </w:r>
      <w:proofErr w:type="spellEnd"/>
      <w:r w:rsidRPr="00FD5CAE">
        <w:rPr>
          <w:b/>
        </w:rPr>
        <w:t xml:space="preserve"> 2025</w:t>
      </w:r>
    </w:p>
    <w:p w14:paraId="6D420D8B" w14:textId="7DBF8960" w:rsidR="00AF1AA4" w:rsidRDefault="00FD5CAE" w:rsidP="00FD5CAE">
      <w:pPr>
        <w:pStyle w:val="Bodytext"/>
        <w:numPr>
          <w:ilvl w:val="0"/>
          <w:numId w:val="8"/>
        </w:numPr>
        <w:ind w:right="1955"/>
        <w:rPr>
          <w:b/>
        </w:rPr>
      </w:pPr>
      <w:proofErr w:type="spellStart"/>
      <w:r w:rsidRPr="00FD5CAE">
        <w:rPr>
          <w:b/>
        </w:rPr>
        <w:t>Jedná</w:t>
      </w:r>
      <w:proofErr w:type="spellEnd"/>
      <w:r w:rsidRPr="00FD5CAE">
        <w:rPr>
          <w:b/>
        </w:rPr>
        <w:t xml:space="preserve"> se o </w:t>
      </w:r>
      <w:proofErr w:type="spellStart"/>
      <w:r w:rsidRPr="00FD5CAE">
        <w:rPr>
          <w:b/>
        </w:rPr>
        <w:t>další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krok</w:t>
      </w:r>
      <w:proofErr w:type="spellEnd"/>
      <w:r w:rsidRPr="00FD5CAE">
        <w:rPr>
          <w:b/>
        </w:rPr>
        <w:t xml:space="preserve"> </w:t>
      </w:r>
      <w:proofErr w:type="spellStart"/>
      <w:r w:rsidRPr="00FD5CAE">
        <w:rPr>
          <w:b/>
        </w:rPr>
        <w:t>společnosti</w:t>
      </w:r>
      <w:proofErr w:type="spellEnd"/>
      <w:r w:rsidRPr="00FD5CAE">
        <w:rPr>
          <w:b/>
        </w:rPr>
        <w:t xml:space="preserve"> Siemens </w:t>
      </w:r>
      <w:proofErr w:type="spellStart"/>
      <w:r w:rsidRPr="00FD5CAE">
        <w:rPr>
          <w:b/>
        </w:rPr>
        <w:t>směrem</w:t>
      </w:r>
      <w:proofErr w:type="spellEnd"/>
      <w:r w:rsidRPr="00FD5CAE">
        <w:rPr>
          <w:b/>
        </w:rPr>
        <w:t xml:space="preserve"> k </w:t>
      </w:r>
      <w:proofErr w:type="spellStart"/>
      <w:r w:rsidRPr="00FD5CAE">
        <w:rPr>
          <w:b/>
        </w:rPr>
        <w:t>optimalizaci</w:t>
      </w:r>
      <w:proofErr w:type="spellEnd"/>
      <w:r w:rsidRPr="00FD5CAE">
        <w:rPr>
          <w:b/>
        </w:rPr>
        <w:t xml:space="preserve"> </w:t>
      </w:r>
      <w:r>
        <w:rPr>
          <w:b/>
        </w:rPr>
        <w:t>portfolio</w:t>
      </w:r>
    </w:p>
    <w:p w14:paraId="2FE3565C" w14:textId="77777777" w:rsidR="00FD5CAE" w:rsidRDefault="00FD5CAE" w:rsidP="00FD5CAE">
      <w:pPr>
        <w:pStyle w:val="Bodytext"/>
        <w:ind w:right="1955"/>
      </w:pPr>
    </w:p>
    <w:p w14:paraId="7FA8D4C6" w14:textId="5FE4ED74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lang w:val="cs-CZ"/>
        </w:rPr>
        <w:t xml:space="preserve">Management </w:t>
      </w:r>
      <w:proofErr w:type="spellStart"/>
      <w:r w:rsidRPr="00FD5CAE">
        <w:rPr>
          <w:lang w:val="cs-CZ"/>
        </w:rPr>
        <w:t>board</w:t>
      </w:r>
      <w:proofErr w:type="spellEnd"/>
      <w:r w:rsidRPr="00FD5CAE">
        <w:rPr>
          <w:lang w:val="cs-CZ"/>
        </w:rPr>
        <w:t xml:space="preserve"> a dozorčí rada koncernu Siemens AG schválily prodej společnosti Innomotics, která je předním světovým výrobcem elektromotorů a</w:t>
      </w:r>
      <w:r>
        <w:rPr>
          <w:lang w:val="cs-CZ"/>
        </w:rPr>
        <w:t> </w:t>
      </w:r>
      <w:r w:rsidRPr="00FD5CAE">
        <w:rPr>
          <w:lang w:val="cs-CZ"/>
        </w:rPr>
        <w:t xml:space="preserve">velkých pohonů, firmě KPS </w:t>
      </w:r>
      <w:proofErr w:type="spellStart"/>
      <w:r w:rsidRPr="00FD5CAE">
        <w:rPr>
          <w:lang w:val="cs-CZ"/>
        </w:rPr>
        <w:t>Capital</w:t>
      </w:r>
      <w:proofErr w:type="spellEnd"/>
      <w:r w:rsidRPr="00FD5CAE">
        <w:rPr>
          <w:lang w:val="cs-CZ"/>
        </w:rPr>
        <w:t xml:space="preserve"> </w:t>
      </w:r>
      <w:proofErr w:type="spellStart"/>
      <w:r w:rsidRPr="00FD5CAE">
        <w:rPr>
          <w:lang w:val="cs-CZ"/>
        </w:rPr>
        <w:t>Partners</w:t>
      </w:r>
      <w:proofErr w:type="spellEnd"/>
      <w:r w:rsidRPr="00FD5CAE">
        <w:rPr>
          <w:lang w:val="cs-CZ"/>
        </w:rPr>
        <w:t>, LP (dále jen „KPS“). Obě strany již podepsaly příslušnou smlouvu. Kupní cena (hodnota podniku) činí 3,5</w:t>
      </w:r>
      <w:r w:rsidR="00CD2E33">
        <w:rPr>
          <w:lang w:val="cs-CZ"/>
        </w:rPr>
        <w:t> </w:t>
      </w:r>
      <w:r w:rsidRPr="00FD5CAE">
        <w:rPr>
          <w:lang w:val="cs-CZ"/>
        </w:rPr>
        <w:t>miliardy eur. Prodej by měl být dokončen v první polovině fiskálního roku 2025 a</w:t>
      </w:r>
      <w:r>
        <w:rPr>
          <w:lang w:val="cs-CZ"/>
        </w:rPr>
        <w:t> </w:t>
      </w:r>
      <w:r w:rsidRPr="00FD5CAE">
        <w:rPr>
          <w:lang w:val="cs-CZ"/>
        </w:rPr>
        <w:t>podléhá obvyklým schvalovacím procesům v oblasti zahraničních investic a</w:t>
      </w:r>
      <w:r>
        <w:rPr>
          <w:lang w:val="cs-CZ"/>
        </w:rPr>
        <w:t> </w:t>
      </w:r>
      <w:r w:rsidRPr="00FD5CAE">
        <w:rPr>
          <w:lang w:val="cs-CZ"/>
        </w:rPr>
        <w:t>kontroly fúzí.</w:t>
      </w:r>
    </w:p>
    <w:p w14:paraId="0AF79C48" w14:textId="77777777" w:rsidR="00FD5CAE" w:rsidRPr="00FD5CAE" w:rsidRDefault="00FD5CAE" w:rsidP="00FD5CAE">
      <w:pPr>
        <w:pStyle w:val="Bodytext"/>
        <w:ind w:right="1955"/>
        <w:rPr>
          <w:lang w:val="cs-CZ"/>
        </w:rPr>
      </w:pPr>
    </w:p>
    <w:p w14:paraId="58331C72" w14:textId="371CA31E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i/>
          <w:iCs/>
          <w:lang w:val="cs-CZ"/>
        </w:rPr>
        <w:t>„Prodej společnosti Innomotics je dalším významným krokem v rámci optimalizace našeho portfolia. Úspěšně se nám podařilo najít toho nejlepšího možného nového vlastníka,“</w:t>
      </w:r>
      <w:r w:rsidRPr="00FD5CAE">
        <w:rPr>
          <w:lang w:val="cs-CZ"/>
        </w:rPr>
        <w:t xml:space="preserve"> uvedl Ralf P. Thomas, finanční ředitel koncernu Siemens AG. „</w:t>
      </w:r>
      <w:r w:rsidRPr="00FD5CAE">
        <w:rPr>
          <w:i/>
          <w:iCs/>
          <w:lang w:val="cs-CZ"/>
        </w:rPr>
        <w:t>Toto rozhodnutí představuje pro zákazníky i zaměstnance společnosti Innomotics jasné a transparentní řešení a otevírá jim cestu k nepřeberným možnostem v dalším úspěšném rozvoji jejich podnikání. Propojení reálného a digitálního světa tak do budoucna přinese koncernu Siemens a jeho akcionářům ještě větší výhody.“</w:t>
      </w:r>
    </w:p>
    <w:p w14:paraId="3BD71449" w14:textId="77777777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lang w:val="cs-CZ"/>
        </w:rPr>
        <w:lastRenderedPageBreak/>
        <w:t xml:space="preserve"> </w:t>
      </w:r>
    </w:p>
    <w:p w14:paraId="45320A50" w14:textId="0BB7C78F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lang w:val="cs-CZ"/>
        </w:rPr>
        <w:t>Siemens se v listopadu 2022 rozhodl spojit oblast výroby velkých pohonů a</w:t>
      </w:r>
      <w:r>
        <w:rPr>
          <w:lang w:val="cs-CZ"/>
        </w:rPr>
        <w:t> </w:t>
      </w:r>
      <w:r w:rsidRPr="00FD5CAE">
        <w:rPr>
          <w:lang w:val="cs-CZ"/>
        </w:rPr>
        <w:t>elektromotorů pod jednu samostatnou společnost, která působí mimo hlavní obchodní činnost koncernu. Její vyčlenění od té doby úspěšně probíhalo podle plánu. Vzhledem k tomu, že tato smlouva, která je výhodná pro všechny strany, nabízí mnohem rychlejší a přehlednou cestu k úspěšné budoucnosti, rozhodl se Siemens již nepokračovat v přípravách na vstup společnosti Innomotics na burzu, jak původně oznámil v listopadu 2023.</w:t>
      </w:r>
    </w:p>
    <w:p w14:paraId="2BC27814" w14:textId="77777777" w:rsidR="00FD5CAE" w:rsidRPr="00FD5CAE" w:rsidRDefault="00FD5CAE" w:rsidP="00FD5CAE">
      <w:pPr>
        <w:pStyle w:val="Bodytext"/>
        <w:ind w:right="1955"/>
        <w:rPr>
          <w:lang w:val="cs-CZ"/>
        </w:rPr>
      </w:pPr>
    </w:p>
    <w:p w14:paraId="5E856903" w14:textId="60F2EB07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lang w:val="cs-CZ"/>
        </w:rPr>
        <w:t>Pozitivní reakce zákazníků a trhu i růst společnosti Innomotics během procesu vyčlenění podtrhují její silnou pozici předního dodavatele velkých pohonů a</w:t>
      </w:r>
      <w:r>
        <w:rPr>
          <w:lang w:val="cs-CZ"/>
        </w:rPr>
        <w:t> </w:t>
      </w:r>
      <w:r w:rsidRPr="00FD5CAE">
        <w:rPr>
          <w:lang w:val="cs-CZ"/>
        </w:rPr>
        <w:t>motorů, který dokáže řešit i ty nejnáročnější technické požadavky zákazníků. Budoucí struktura s novým vlastníkem KPS představuje pro Innomotics ty nejlepší rámcové podmínky pro udržitelný rozvoj orientovaný na růst.</w:t>
      </w:r>
    </w:p>
    <w:p w14:paraId="3F1A7873" w14:textId="77777777" w:rsidR="00FD5CAE" w:rsidRPr="00FD5CAE" w:rsidRDefault="00FD5CAE" w:rsidP="00FD5CAE">
      <w:pPr>
        <w:pStyle w:val="Bodytext"/>
        <w:ind w:right="1955"/>
        <w:rPr>
          <w:lang w:val="cs-CZ"/>
        </w:rPr>
      </w:pPr>
    </w:p>
    <w:p w14:paraId="758B9DE1" w14:textId="6C3FA425" w:rsidR="00FD5CAE" w:rsidRPr="00FD5CAE" w:rsidRDefault="00FD5CAE" w:rsidP="00FD5CAE">
      <w:pPr>
        <w:pStyle w:val="Bodytext"/>
        <w:ind w:right="1955"/>
        <w:rPr>
          <w:lang w:val="cs-CZ"/>
        </w:rPr>
      </w:pPr>
      <w:r w:rsidRPr="00FD5CAE">
        <w:rPr>
          <w:i/>
          <w:iCs/>
          <w:lang w:val="cs-CZ"/>
        </w:rPr>
        <w:t>„Partnerství s KPS podpoří další rozšiřování našich předchozích úspěchů v</w:t>
      </w:r>
      <w:r w:rsidR="00DE11A0">
        <w:rPr>
          <w:i/>
          <w:iCs/>
          <w:lang w:val="cs-CZ"/>
        </w:rPr>
        <w:t> </w:t>
      </w:r>
      <w:r w:rsidRPr="00FD5CAE">
        <w:rPr>
          <w:i/>
          <w:iCs/>
          <w:lang w:val="cs-CZ"/>
        </w:rPr>
        <w:t>oblasti technologických inovací a poskytování špičkových produktů, řešení a služeb našim zákazníkům,“</w:t>
      </w:r>
      <w:r w:rsidRPr="00FD5CAE">
        <w:rPr>
          <w:lang w:val="cs-CZ"/>
        </w:rPr>
        <w:t xml:space="preserve"> uvedl generální ředitel společnosti Innomotics Michael Reichle. </w:t>
      </w:r>
      <w:r w:rsidRPr="00FD5CAE">
        <w:rPr>
          <w:i/>
          <w:iCs/>
          <w:lang w:val="cs-CZ"/>
        </w:rPr>
        <w:t>„Těšíme se na úzkou spolupráci s KPS a našimi talentovanými zaměstnanci, protože budeme i nadále přinášet významnou hodnotu zákazníkům po celém světě a posilovat silnou technologickou pozici naší společnosti. Innomotics bude i nadále těžit z vysokého růstového potenciálu daného poptávkou po výkonných a účinných produktech a řešeních v oblasti elektrifikace a spotřeby energie v průmyslu i ve společnosti, které jsou zaměřené na udržitelnost.“</w:t>
      </w:r>
    </w:p>
    <w:p w14:paraId="7071D9CE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2EE40FCC" w:rsidR="001B6C27" w:rsidRPr="00022459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022459" w:rsidRPr="00022459">
          <w:rPr>
            <w:rStyle w:val="Hypertextovodkaz"/>
            <w:rFonts w:ascii="Arial" w:hAnsi="Arial" w:cs="Arial"/>
          </w:rPr>
          <w:t>https://www.siemenspress.cz/siemens-proda-spolecnost-innomotics-firme-kps-capital-partners/</w:t>
        </w:r>
      </w:hyperlink>
    </w:p>
    <w:p w14:paraId="3BC640A5" w14:textId="77777777" w:rsidR="00AD1A8A" w:rsidRDefault="00AD1A8A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9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547"/>
    <w:multiLevelType w:val="hybridMultilevel"/>
    <w:tmpl w:val="7E9EFF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348E5"/>
    <w:multiLevelType w:val="hybridMultilevel"/>
    <w:tmpl w:val="56BCF1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5"/>
  </w:num>
  <w:num w:numId="2" w16cid:durableId="387651930">
    <w:abstractNumId w:val="3"/>
  </w:num>
  <w:num w:numId="3" w16cid:durableId="345253502">
    <w:abstractNumId w:val="6"/>
  </w:num>
  <w:num w:numId="4" w16cid:durableId="770246978">
    <w:abstractNumId w:val="7"/>
  </w:num>
  <w:num w:numId="5" w16cid:durableId="953050870">
    <w:abstractNumId w:val="2"/>
  </w:num>
  <w:num w:numId="6" w16cid:durableId="649747341">
    <w:abstractNumId w:val="0"/>
  </w:num>
  <w:num w:numId="7" w16cid:durableId="570507892">
    <w:abstractNumId w:val="1"/>
  </w:num>
  <w:num w:numId="8" w16cid:durableId="747965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22459"/>
    <w:rsid w:val="00192F06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22C1F"/>
    <w:rsid w:val="004B4EB4"/>
    <w:rsid w:val="00595A16"/>
    <w:rsid w:val="00663FA3"/>
    <w:rsid w:val="006772DB"/>
    <w:rsid w:val="0068226D"/>
    <w:rsid w:val="006A5236"/>
    <w:rsid w:val="00770749"/>
    <w:rsid w:val="008135E8"/>
    <w:rsid w:val="00875868"/>
    <w:rsid w:val="008A0228"/>
    <w:rsid w:val="008B78F9"/>
    <w:rsid w:val="008C63B4"/>
    <w:rsid w:val="008D7CAA"/>
    <w:rsid w:val="0098523A"/>
    <w:rsid w:val="00985C58"/>
    <w:rsid w:val="00991D2B"/>
    <w:rsid w:val="009B2DD2"/>
    <w:rsid w:val="00A166FC"/>
    <w:rsid w:val="00A30D93"/>
    <w:rsid w:val="00AD1A8A"/>
    <w:rsid w:val="00AF1AA4"/>
    <w:rsid w:val="00B02CC0"/>
    <w:rsid w:val="00B56073"/>
    <w:rsid w:val="00BA5017"/>
    <w:rsid w:val="00BD261F"/>
    <w:rsid w:val="00BD6E9E"/>
    <w:rsid w:val="00C32AC9"/>
    <w:rsid w:val="00CD2E33"/>
    <w:rsid w:val="00D477C0"/>
    <w:rsid w:val="00DD4E62"/>
    <w:rsid w:val="00DE11A0"/>
    <w:rsid w:val="00DE7021"/>
    <w:rsid w:val="00EA46DC"/>
    <w:rsid w:val="00F75672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oda-spolecnost-innomotics-firme-kps-capital-partners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2024-05-16T09:36:00Z</dcterms:created>
  <dcterms:modified xsi:type="dcterms:W3CDTF">2024-05-16T09:37:00Z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